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91C" w:rsidRDefault="0078591C" w:rsidP="0078591C">
      <w:pPr>
        <w:keepNext/>
        <w:keepLines/>
        <w:widowControl w:val="0"/>
        <w:autoSpaceDE w:val="0"/>
        <w:autoSpaceDN w:val="0"/>
        <w:spacing w:after="0" w:line="240" w:lineRule="auto"/>
        <w:outlineLvl w:val="1"/>
        <w:rPr>
          <w:rFonts w:eastAsia="Times New Roman"/>
          <w:iCs/>
          <w:sz w:val="28"/>
          <w:szCs w:val="28"/>
          <w:lang w:val="vi-VN"/>
        </w:rPr>
      </w:pPr>
      <w:r>
        <w:rPr>
          <w:rFonts w:eastAsia="Times New Roman"/>
          <w:b/>
          <w:caps/>
          <w:sz w:val="24"/>
          <w:szCs w:val="24"/>
          <w:lang w:val="vi-VN"/>
        </w:rPr>
        <w:t>Du lịch bỀn vỮng</w:t>
      </w:r>
      <w:r>
        <w:rPr>
          <w:rFonts w:eastAsia="Times New Roman"/>
          <w:bCs/>
          <w:sz w:val="28"/>
          <w:szCs w:val="28"/>
          <w:lang w:val="vi-VN"/>
        </w:rPr>
        <w:t xml:space="preserve">, </w:t>
      </w:r>
      <w:r>
        <w:rPr>
          <w:rFonts w:eastAsia="Times New Roman"/>
          <w:iCs/>
          <w:sz w:val="28"/>
          <w:szCs w:val="28"/>
          <w:lang w:val="vi-VN"/>
        </w:rPr>
        <w:t>phát triển du lịch vừa đáp ứng đồng thời các yêu cầu về kinh tế, xã hội và môi trường, vừa đảm bảo hài hoà lợi ích của các chủ thể tham gia hoạt động du lịch, không làm tổn hại đến khả năng đáp ứng nhu cầu về du lịch trong tương lai.</w:t>
      </w:r>
    </w:p>
    <w:p w:rsidR="0078591C" w:rsidRDefault="0078591C" w:rsidP="0078591C">
      <w:pPr>
        <w:spacing w:after="0" w:line="240" w:lineRule="auto"/>
        <w:ind w:firstLine="720"/>
        <w:rPr>
          <w:sz w:val="28"/>
          <w:lang w:val="vi-VN"/>
        </w:rPr>
      </w:pPr>
      <w:r>
        <w:rPr>
          <w:sz w:val="28"/>
          <w:lang w:val="vi-VN"/>
        </w:rPr>
        <w:t xml:space="preserve">Thuật ngữ phát triển bền vững (PTBV) xuất hiện lần đầu tiên vào năm 1980 trong ấn phẩm </w:t>
      </w:r>
      <w:r>
        <w:rPr>
          <w:i/>
          <w:iCs/>
          <w:sz w:val="28"/>
          <w:lang w:val="vi-VN"/>
        </w:rPr>
        <w:t>Chiến lược bảo tồn Thế giới</w:t>
      </w:r>
      <w:r>
        <w:rPr>
          <w:sz w:val="28"/>
          <w:lang w:val="vi-VN"/>
        </w:rPr>
        <w:t xml:space="preserve"> được công bố bởi Hiệp hội Bảo tồn Thiên nhiên và Tài nguyên Thiên nhiên Quốc tế (IUCN). Năm 1989, Ủy ban Môi trường và Phát triển Thế giới của Liên hợp quốc xuất bản báo cáo “Tương lai chung của chúng ta”. Trước đó, khái niệm phát triển bền vững đã có được nhắc tới, nhưng chỉ đến khi báo cáo này ra đời mới nêu bật định nghĩa về </w:t>
      </w:r>
      <w:r>
        <w:rPr>
          <w:iCs/>
          <w:sz w:val="28"/>
          <w:lang w:val="vi-VN"/>
        </w:rPr>
        <w:t>phát triển bền vững là</w:t>
      </w:r>
      <w:r>
        <w:rPr>
          <w:i/>
          <w:sz w:val="28"/>
          <w:lang w:val="vi-VN"/>
        </w:rPr>
        <w:t xml:space="preserve"> </w:t>
      </w:r>
      <w:r>
        <w:rPr>
          <w:iCs/>
          <w:sz w:val="28"/>
          <w:lang w:val="vi-VN"/>
        </w:rPr>
        <w:t>“sự phát triển nhằm đáp ứng các nhu cầu của thế hệ hiện tại mà không làm tổn hại đến khả năng đáp ứng các nhu cầu của các thế hệ mai sau”</w:t>
      </w:r>
      <w:r>
        <w:rPr>
          <w:sz w:val="28"/>
          <w:lang w:val="vi-VN"/>
        </w:rPr>
        <w:t>. Phát triển du lịch bền vững là mục tiêu lâu dài của ngành Du lịch. Tổ chức Du lịch Thế giới (UNWTO) năm 1999 đã đưa ra định nghĩa về du lịch bền vững: “là loại hình du lịch đáp ứng được nhu cầu hiện tại của du khách và của những vùng đón tiếp mà vẫn bảo đảm và cải thiện nguồn lực cho tương lai. Du lịch bền vững dẫn tới một phương thức quản lý tất cả các nguồn lực sao cho thỏa mãn nhu cầu kinh tế, xã hội và thẩm mỹ mà vẫn giữ gìn được sự trọn vẹn của văn hóa và môi trường sống”.</w:t>
      </w:r>
    </w:p>
    <w:p w:rsidR="0078591C" w:rsidRDefault="0078591C" w:rsidP="0078591C">
      <w:pPr>
        <w:spacing w:after="0" w:line="240" w:lineRule="auto"/>
        <w:ind w:firstLine="720"/>
        <w:rPr>
          <w:sz w:val="28"/>
          <w:lang w:val="vi-VN"/>
        </w:rPr>
      </w:pPr>
      <w:r>
        <w:rPr>
          <w:sz w:val="28"/>
          <w:lang w:val="vi-VN"/>
        </w:rPr>
        <w:t>Xét về tổng thể, DLBV được xem xét trên ba khía cạnh chính: đảm bảo lợi ích hài hòa giữa các chủ thể; phát triển và đảm bảo hài hòa về kinh tế, văn hóa - xã hội và môi trường; phát triển lâu dài và đáp ứng nhu cầu của thế hệ tương lai.</w:t>
      </w:r>
    </w:p>
    <w:p w:rsidR="0078591C" w:rsidRDefault="0078591C" w:rsidP="0078591C">
      <w:pPr>
        <w:spacing w:after="0" w:line="240" w:lineRule="auto"/>
        <w:ind w:firstLine="720"/>
        <w:rPr>
          <w:sz w:val="28"/>
          <w:lang w:val="vi-VN"/>
        </w:rPr>
      </w:pPr>
      <w:r>
        <w:rPr>
          <w:sz w:val="28"/>
          <w:lang w:val="vi-VN"/>
        </w:rPr>
        <w:t>Với ý nghĩa đẩy mạnh các hoạt động xây dựng thể chế, điển hình tốt và phát triển nhân lực trong phát triển DLBV, nhiều tổ chức đã được thành lập như Mạng lưới Giáo dục Xây dựng điển hình tốt nhất cho DLBV (BEST EN); liên minh vùng Caribbe về DLBV (CAST); trung tâm Nghiên cứu Hợp tác về DLBV (CRCST); Tổ chức Hòa bình Xanh (Greenpeace); Hội đồng DLBV Toàn cầu (GSTC)… Các tổ chức, mạng lưới bao gồm Chính phủ các nước thành viên, chính quyền các địa phương, các tổ chức nghề nghiệp, môi trường, công đoàn và các cơ quan nghiên cứu và giáo dục có chuyên môn và kinh nghiệm về đảm bảo tính bền vững của du lịch.</w:t>
      </w:r>
    </w:p>
    <w:p w:rsidR="0078591C" w:rsidRDefault="0078591C" w:rsidP="0078591C">
      <w:pPr>
        <w:spacing w:after="0" w:line="240" w:lineRule="auto"/>
        <w:ind w:firstLine="720"/>
        <w:rPr>
          <w:sz w:val="28"/>
          <w:lang w:val="vi-VN"/>
        </w:rPr>
      </w:pPr>
      <w:r>
        <w:rPr>
          <w:sz w:val="28"/>
          <w:szCs w:val="28"/>
          <w:lang w:val="vi-VN"/>
        </w:rPr>
        <w:t xml:space="preserve">Cho tới nay, nhiều </w:t>
      </w:r>
      <w:r>
        <w:rPr>
          <w:sz w:val="28"/>
          <w:lang w:val="vi-VN"/>
        </w:rPr>
        <w:t xml:space="preserve">tổ chức, hiệp hội nghề nghiệp trên thế giới nghiên cứu các mô hình, đánh giá, cấp chứng nhận và xây dựng tiêu chuẩn. Năm 2004, UNWTO xuất bản cuốn sách </w:t>
      </w:r>
      <w:r>
        <w:rPr>
          <w:i/>
          <w:iCs/>
          <w:sz w:val="28"/>
          <w:lang w:val="vi-VN"/>
        </w:rPr>
        <w:t>Indicators of Sustainable Development for Tourism Destinations</w:t>
      </w:r>
      <w:r>
        <w:rPr>
          <w:sz w:val="28"/>
          <w:lang w:val="vi-VN"/>
        </w:rPr>
        <w:t xml:space="preserve"> (Bộ chỉ số phát triển bền vững cho các điểm đến du lịch) trong đó nêu bộ chỉ số đánh giá khả năng đáp ứng tốt nhất cho sự phát triển bền vững của các điểm đến du lịch. Nội dung bộ chỉ số gồm mười ba nhóm với trên bốn mươi chỉ số. Cũng trong nỗ lực giảm thiểu tác động của môi trường, Tổ chức bảo tồn đa dạng sinh học và đảm bảo sinh kế bền vững Rainforest Alliance đã thiết lập mối quan hệ đối tác mạnh mẽ xây dựng các tiêu chí về DLBV Toàn cầu. Theo đó, </w:t>
      </w:r>
      <w:r>
        <w:rPr>
          <w:sz w:val="28"/>
          <w:szCs w:val="28"/>
          <w:lang w:val="vi-VN"/>
        </w:rPr>
        <w:t xml:space="preserve">Hội đồng Quản lý DLBV (STSC - </w:t>
      </w:r>
      <w:r>
        <w:rPr>
          <w:sz w:val="28"/>
          <w:lang w:val="vi-VN"/>
        </w:rPr>
        <w:t>Sustainable Tourism Stewardship Council</w:t>
      </w:r>
      <w:r>
        <w:rPr>
          <w:sz w:val="28"/>
          <w:szCs w:val="28"/>
          <w:lang w:val="vi-VN"/>
        </w:rPr>
        <w:t xml:space="preserve">) đã được thành lập năm 2009. </w:t>
      </w:r>
      <w:r>
        <w:rPr>
          <w:sz w:val="28"/>
          <w:lang w:val="vi-VN"/>
        </w:rPr>
        <w:t xml:space="preserve">Nhiều chương trình khác liên quan tới cấp chứng nhận, xây dựng chuẩn đánh giá đã đóng góp hiệu quả đối với DLBV như chứng chỉ công nhận DLBV (CST); chứng chỉ công nhận DLBV (CST); Mô hình doanh nghiệp DLBV (BEST), mô hình du lịch có trách </w:t>
      </w:r>
      <w:r>
        <w:rPr>
          <w:sz w:val="28"/>
          <w:lang w:val="vi-VN"/>
        </w:rPr>
        <w:lastRenderedPageBreak/>
        <w:t xml:space="preserve">nhiệm với môi trường và xã hội (ESRT); phương pháp tiếp cận sinh kế bền vững (SLA); </w:t>
      </w:r>
      <w:r>
        <w:rPr>
          <w:rFonts w:ascii="muli" w:hAnsi="muli"/>
          <w:sz w:val="28"/>
          <w:lang w:val="vi-VN"/>
        </w:rPr>
        <w:t>chứng nhận “Toàn cầu xanh” của tổ chức Green Globe;</w:t>
      </w:r>
      <w:r>
        <w:rPr>
          <w:rFonts w:ascii="muli" w:hAnsi="muli"/>
          <w:sz w:val="28"/>
          <w:shd w:val="clear" w:color="auto" w:fill="F7F7F7"/>
          <w:lang w:val="vi-VN"/>
        </w:rPr>
        <w:t xml:space="preserve"> </w:t>
      </w:r>
      <w:r>
        <w:rPr>
          <w:sz w:val="28"/>
          <w:lang w:val="vi-VN"/>
        </w:rPr>
        <w:t xml:space="preserve">tiêu Chuẩn DLBV Toàn cầu của GSCT; chương trình cấp chứng chỉ Sinh thái DLBV (STEP)… Tại Việt Nam, chương trình cấp chứng chỉ DLBV có thể kể tới như sáng kiến cấp nhãn sinh thái Bông Sen Xanh được giới thiệu trong ngành lưu trú du lịch Việt Nam. </w:t>
      </w:r>
    </w:p>
    <w:p w:rsidR="0078591C" w:rsidRDefault="0078591C" w:rsidP="0078591C">
      <w:pPr>
        <w:spacing w:after="0" w:line="240" w:lineRule="auto"/>
        <w:ind w:firstLine="720"/>
        <w:rPr>
          <w:sz w:val="28"/>
          <w:lang w:val="vi-VN"/>
        </w:rPr>
      </w:pPr>
      <w:r>
        <w:rPr>
          <w:sz w:val="28"/>
          <w:lang w:val="vi-VN"/>
        </w:rPr>
        <w:t>Nhiều diễn đàn quốc tế đã được tổ chức dưới hình thức các chương trình, cuộc vận động, hội nghị, ấn phẩm nhằm đóng góp cho nỗ lực phát triển DLBV nói riêng và Mục tiêu Phát triển Bền vững (SDGs) của Liên hợp quốc và chương trình hành động quốc gia Phát triển Bền vững 2030 nói chung. Có thể kể tới Hội nghị thượng đỉnh thể giới về sự phát triển bền vững tại Rio de Janeiro (Rio+20), chương trình quản lý carbon; vận động DLBV; đánh giá hiệu suất đảm bảo tính bền vững; du lịch xanh; quản lý rác thải, quản lý sự kiện dịch vụ bền vững; tăng trưởng bền vững; sách hướng dẫn đảm bảo tính bền vững của Liên đoàn các hãng lữ hành (</w:t>
      </w:r>
      <w:r>
        <w:rPr>
          <w:i/>
          <w:sz w:val="28"/>
          <w:lang w:val="vi-VN"/>
        </w:rPr>
        <w:t>Federation of Tour Operator</w:t>
      </w:r>
      <w:r>
        <w:rPr>
          <w:sz w:val="28"/>
          <w:lang w:val="vi-VN"/>
        </w:rPr>
        <w:t>); tổ chức sáng kiến tình nguyện vì sự bền vững trong du lịch.</w:t>
      </w:r>
    </w:p>
    <w:p w:rsidR="0078591C" w:rsidRDefault="0078591C" w:rsidP="0078591C">
      <w:pPr>
        <w:spacing w:after="0" w:line="240" w:lineRule="auto"/>
        <w:ind w:firstLine="720"/>
        <w:rPr>
          <w:sz w:val="28"/>
          <w:lang w:val="vi-VN"/>
        </w:rPr>
      </w:pPr>
      <w:r>
        <w:rPr>
          <w:sz w:val="28"/>
          <w:lang w:val="vi-VN"/>
        </w:rPr>
        <w:t>Trong phát triển DLBV, cộng đồng đóng một vai trò quan trọng trong việc đảm bảo các chiến lược phát triển được triển khai thành công. Để tăng cường sự tham gia và khả năng ra quyết định của cộng đồng, cách tiếp cận khá phổ biến là từ dưới lên (bottom-up), đồng thời có sự hỗ trợ của các bên liên quan khác ở địa phương, gồm: chính quyền; doanh nghiệp địa phương và khách du lịch.</w:t>
      </w:r>
    </w:p>
    <w:p w:rsidR="0078591C" w:rsidRDefault="0078591C" w:rsidP="0078591C">
      <w:pPr>
        <w:spacing w:after="0" w:line="240" w:lineRule="auto"/>
        <w:ind w:firstLine="720"/>
        <w:rPr>
          <w:sz w:val="28"/>
          <w:lang w:val="vi-VN"/>
        </w:rPr>
      </w:pPr>
      <w:r>
        <w:rPr>
          <w:sz w:val="28"/>
          <w:lang w:val="vi-VN"/>
        </w:rPr>
        <w:t>Việc quản lý DLBV dựa trên khía cạnh kinh tế, văn hoá và môi trường, gồm hiệu suất hoạt động; các phương diện văn hoá; dấu chân các-bon. DLBV là một xu thế toàn cầu. Cộng đồng thế giới sẽ tăng cường vận động DLBV và du lịch xanh. Các cơ chế hợp tác sẽ tiếp tục được phát triển và theo đuổi những mục tiêu phát triển bền vững của Liên hợp quốc cũng đóng góp cho việc thực hiện các mục tiêu của DLBV. Khi các bên liên quan có nhận thức đúng về DLBV và vai trò quan trọng của du lịch đối với môi trường, các mục tiêu phát triển bền vững cũng như các chiến lược tăng trưởng bền vững của các quốc gia và khu vực sẽ được thực hiện.</w:t>
      </w:r>
    </w:p>
    <w:p w:rsidR="0078591C" w:rsidRDefault="0078591C" w:rsidP="0078591C">
      <w:pPr>
        <w:spacing w:after="0" w:line="240" w:lineRule="auto"/>
        <w:jc w:val="right"/>
        <w:rPr>
          <w:rFonts w:ascii="Times New Roman Bold" w:hAnsi="Times New Roman Bold"/>
          <w:b/>
          <w:caps/>
          <w:sz w:val="22"/>
          <w:lang w:val="vi-VN"/>
        </w:rPr>
      </w:pPr>
      <w:r>
        <w:rPr>
          <w:rFonts w:ascii="Times New Roman Bold" w:hAnsi="Times New Roman Bold"/>
          <w:b/>
          <w:caps/>
          <w:sz w:val="22"/>
          <w:lang w:val="vi-VN"/>
        </w:rPr>
        <w:t>Vũ ChiẾn ThẮng</w:t>
      </w:r>
    </w:p>
    <w:p w:rsidR="0078591C" w:rsidRDefault="0078591C" w:rsidP="0078591C">
      <w:pPr>
        <w:spacing w:after="0" w:line="240" w:lineRule="auto"/>
        <w:rPr>
          <w:sz w:val="28"/>
          <w:lang w:val="vi-VN"/>
        </w:rPr>
      </w:pPr>
    </w:p>
    <w:p w:rsidR="0078591C" w:rsidRDefault="0078591C" w:rsidP="0078591C">
      <w:pPr>
        <w:spacing w:after="0" w:line="240" w:lineRule="auto"/>
        <w:rPr>
          <w:b/>
          <w:bCs/>
          <w:spacing w:val="5"/>
          <w:sz w:val="24"/>
          <w:szCs w:val="24"/>
          <w:lang w:val="vi-VN"/>
        </w:rPr>
      </w:pPr>
      <w:r>
        <w:rPr>
          <w:b/>
          <w:bCs/>
          <w:spacing w:val="5"/>
          <w:sz w:val="24"/>
          <w:szCs w:val="24"/>
          <w:lang w:val="vi-VN"/>
        </w:rPr>
        <w:t>Tài liệu tham khảo:</w:t>
      </w:r>
    </w:p>
    <w:p w:rsidR="0078591C" w:rsidRDefault="0078591C" w:rsidP="0078591C">
      <w:pPr>
        <w:widowControl w:val="0"/>
        <w:numPr>
          <w:ilvl w:val="0"/>
          <w:numId w:val="1"/>
        </w:numPr>
        <w:autoSpaceDE w:val="0"/>
        <w:autoSpaceDN w:val="0"/>
        <w:spacing w:after="0" w:line="276" w:lineRule="auto"/>
        <w:jc w:val="left"/>
        <w:rPr>
          <w:spacing w:val="5"/>
          <w:sz w:val="24"/>
          <w:szCs w:val="24"/>
          <w:lang w:val="vi-VN"/>
        </w:rPr>
      </w:pPr>
      <w:r>
        <w:rPr>
          <w:i/>
          <w:sz w:val="24"/>
          <w:szCs w:val="24"/>
          <w:lang w:val="vi-VN"/>
        </w:rPr>
        <w:t xml:space="preserve">Luật Du lịch, </w:t>
      </w:r>
      <w:r>
        <w:rPr>
          <w:sz w:val="24"/>
          <w:szCs w:val="24"/>
          <w:lang w:val="vi-VN"/>
        </w:rPr>
        <w:t xml:space="preserve">Số 09/2017/QH14 ngày 19.6.2017 </w:t>
      </w:r>
    </w:p>
    <w:p w:rsidR="0078591C" w:rsidRDefault="0078591C" w:rsidP="0078591C">
      <w:pPr>
        <w:widowControl w:val="0"/>
        <w:numPr>
          <w:ilvl w:val="0"/>
          <w:numId w:val="1"/>
        </w:numPr>
        <w:autoSpaceDE w:val="0"/>
        <w:autoSpaceDN w:val="0"/>
        <w:spacing w:after="0" w:line="276" w:lineRule="auto"/>
        <w:jc w:val="left"/>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Cater, C., Garrod, B., &amp; Low, T., </w:t>
      </w:r>
      <w:r>
        <w:rPr>
          <w:i/>
          <w:iCs/>
          <w:sz w:val="24"/>
          <w:szCs w:val="24"/>
        </w:rPr>
        <w:t>Encyclopedia of Sustainable Tourism,</w:t>
      </w:r>
      <w:r>
        <w:rPr>
          <w:sz w:val="24"/>
          <w:szCs w:val="24"/>
        </w:rPr>
        <w:t xml:space="preserve"> CABI, 2015, tr. 165-167.</w:t>
      </w:r>
    </w:p>
    <w:p w:rsidR="0078591C" w:rsidRDefault="0078591C" w:rsidP="0078591C">
      <w:pPr>
        <w:widowControl w:val="0"/>
        <w:numPr>
          <w:ilvl w:val="0"/>
          <w:numId w:val="1"/>
        </w:numPr>
        <w:autoSpaceDE w:val="0"/>
        <w:autoSpaceDN w:val="0"/>
        <w:spacing w:after="0" w:line="276" w:lineRule="auto"/>
        <w:jc w:val="left"/>
        <w:rPr>
          <w:sz w:val="24"/>
          <w:szCs w:val="24"/>
        </w:rPr>
      </w:pPr>
      <w:r>
        <w:rPr>
          <w:sz w:val="24"/>
          <w:szCs w:val="24"/>
        </w:rPr>
        <w:t xml:space="preserve">Pizam, A., </w:t>
      </w:r>
      <w:r>
        <w:rPr>
          <w:i/>
          <w:sz w:val="24"/>
          <w:szCs w:val="24"/>
        </w:rPr>
        <w:t>International Encyclopedia of Hospitality Management (</w:t>
      </w:r>
      <w:r>
        <w:rPr>
          <w:i/>
          <w:sz w:val="24"/>
          <w:szCs w:val="24"/>
          <w:shd w:val="clear" w:color="auto" w:fill="FFFFFF"/>
        </w:rPr>
        <w:t>2nd ed.</w:t>
      </w:r>
      <w:r>
        <w:rPr>
          <w:sz w:val="24"/>
          <w:szCs w:val="24"/>
          <w:shd w:val="clear" w:color="auto" w:fill="FFFFFF"/>
        </w:rPr>
        <w:t>)</w:t>
      </w:r>
      <w:r>
        <w:rPr>
          <w:sz w:val="24"/>
          <w:szCs w:val="24"/>
        </w:rPr>
        <w:t xml:space="preserve">, </w:t>
      </w:r>
      <w:r>
        <w:rPr>
          <w:iCs/>
          <w:sz w:val="24"/>
          <w:szCs w:val="24"/>
        </w:rPr>
        <w:t>Routledge.</w:t>
      </w:r>
      <w:r>
        <w:rPr>
          <w:sz w:val="24"/>
          <w:szCs w:val="24"/>
        </w:rPr>
        <w:t>, 2012, tr.299.</w:t>
      </w:r>
    </w:p>
    <w:p w:rsidR="0078591C" w:rsidRDefault="0078591C" w:rsidP="0078591C">
      <w:pPr>
        <w:widowControl w:val="0"/>
        <w:numPr>
          <w:ilvl w:val="0"/>
          <w:numId w:val="1"/>
        </w:numPr>
        <w:autoSpaceDE w:val="0"/>
        <w:autoSpaceDN w:val="0"/>
        <w:spacing w:after="0" w:line="276" w:lineRule="auto"/>
        <w:jc w:val="left"/>
        <w:rPr>
          <w:sz w:val="24"/>
          <w:szCs w:val="24"/>
        </w:rPr>
      </w:pPr>
      <w:r>
        <w:rPr>
          <w:sz w:val="24"/>
          <w:szCs w:val="24"/>
        </w:rPr>
        <w:t xml:space="preserve">World Tourism Organization – UNWTO, </w:t>
      </w:r>
      <w:r>
        <w:rPr>
          <w:i/>
          <w:iCs/>
          <w:sz w:val="24"/>
          <w:szCs w:val="24"/>
        </w:rPr>
        <w:t>Declaring the year 2002 as the International Year of Ecotourism</w:t>
      </w:r>
      <w:r>
        <w:rPr>
          <w:sz w:val="24"/>
          <w:szCs w:val="24"/>
        </w:rPr>
        <w:t>, UNWTO, 2002.</w:t>
      </w:r>
    </w:p>
    <w:p w:rsidR="0078591C" w:rsidRDefault="0078591C" w:rsidP="0078591C">
      <w:pPr>
        <w:keepNext/>
        <w:keepLines/>
        <w:widowControl w:val="0"/>
        <w:autoSpaceDE w:val="0"/>
        <w:autoSpaceDN w:val="0"/>
        <w:spacing w:after="0" w:line="240" w:lineRule="auto"/>
        <w:outlineLvl w:val="1"/>
        <w:rPr>
          <w:rFonts w:ascii="Calibri Light" w:eastAsia="Times New Roman" w:hAnsi="Calibri Light"/>
          <w:sz w:val="24"/>
          <w:szCs w:val="24"/>
          <w:lang w:val="vi-VN"/>
        </w:rPr>
      </w:pPr>
      <w:r>
        <w:rPr>
          <w:sz w:val="24"/>
          <w:szCs w:val="24"/>
        </w:rPr>
        <w:t xml:space="preserve">Jafari, J., </w:t>
      </w:r>
      <w:r>
        <w:rPr>
          <w:i/>
          <w:iCs/>
          <w:sz w:val="24"/>
          <w:szCs w:val="24"/>
        </w:rPr>
        <w:t>Encyclopedia of Tourism (1st ed.),</w:t>
      </w:r>
      <w:r>
        <w:rPr>
          <w:sz w:val="24"/>
          <w:szCs w:val="24"/>
        </w:rPr>
        <w:t xml:space="preserve"> Routledge, London &amp; New York, 2000, tr.567.</w:t>
      </w:r>
      <w:r>
        <w:rPr>
          <w:sz w:val="24"/>
          <w:szCs w:val="24"/>
        </w:rPr>
        <w:fldChar w:fldCharType="end"/>
      </w:r>
      <w:r>
        <w:rPr>
          <w:rFonts w:ascii="Calibri Light" w:eastAsia="Times New Roman" w:hAnsi="Calibri Light"/>
          <w:sz w:val="24"/>
          <w:szCs w:val="24"/>
          <w:lang w:val="vi-VN"/>
        </w:rPr>
        <w:br w:type="page"/>
      </w:r>
    </w:p>
    <w:p w:rsidR="0078591C" w:rsidRDefault="0078591C" w:rsidP="0078591C">
      <w:pPr>
        <w:keepNext/>
        <w:keepLines/>
        <w:widowControl w:val="0"/>
        <w:shd w:val="clear" w:color="auto" w:fill="FFFFFF"/>
        <w:autoSpaceDE w:val="0"/>
        <w:autoSpaceDN w:val="0"/>
        <w:spacing w:after="0" w:line="240" w:lineRule="auto"/>
        <w:textAlignment w:val="baseline"/>
        <w:outlineLvl w:val="1"/>
        <w:rPr>
          <w:rFonts w:eastAsia="Times New Roman"/>
          <w:iCs/>
          <w:sz w:val="28"/>
          <w:szCs w:val="28"/>
          <w:lang w:val="vi-VN"/>
        </w:rPr>
      </w:pPr>
      <w:r>
        <w:rPr>
          <w:rFonts w:eastAsia="Times New Roman"/>
          <w:iCs/>
          <w:sz w:val="28"/>
          <w:szCs w:val="28"/>
          <w:lang w:val="vi-VN"/>
        </w:rPr>
        <w:lastRenderedPageBreak/>
        <w:t>(Tên cũ theo thuyết minh nhiệm vụ:</w:t>
      </w:r>
      <w:r>
        <w:rPr>
          <w:rFonts w:eastAsia="Times New Roman"/>
          <w:b/>
          <w:sz w:val="24"/>
          <w:szCs w:val="24"/>
          <w:lang w:val="vi-VN"/>
        </w:rPr>
        <w:t xml:space="preserve"> DU LỊCH TẠI QUẦN THỂ DANH THẮNG TRÀNG AN</w:t>
      </w:r>
      <w:r>
        <w:rPr>
          <w:rFonts w:eastAsia="Times New Roman"/>
          <w:iCs/>
          <w:sz w:val="28"/>
          <w:szCs w:val="28"/>
          <w:lang w:val="vi-VN"/>
        </w:rPr>
        <w:t>)</w:t>
      </w:r>
    </w:p>
    <w:p w:rsidR="0078591C" w:rsidRDefault="0078591C" w:rsidP="0078591C">
      <w:pPr>
        <w:keepNext/>
        <w:keepLines/>
        <w:widowControl w:val="0"/>
        <w:autoSpaceDE w:val="0"/>
        <w:autoSpaceDN w:val="0"/>
        <w:spacing w:after="0" w:line="240" w:lineRule="auto"/>
        <w:outlineLvl w:val="1"/>
        <w:rPr>
          <w:rFonts w:eastAsia="Times New Roman"/>
          <w:b/>
          <w:sz w:val="24"/>
          <w:szCs w:val="24"/>
          <w:lang w:val="vi-VN"/>
        </w:rPr>
      </w:pPr>
    </w:p>
    <w:p w:rsidR="00EB5AB5" w:rsidRPr="0078591C" w:rsidRDefault="00EB5AB5">
      <w:pPr>
        <w:rPr>
          <w:lang w:val="vi-VN"/>
        </w:rPr>
      </w:pPr>
      <w:bookmarkStart w:id="0" w:name="_GoBack"/>
      <w:bookmarkEnd w:id="0"/>
    </w:p>
    <w:sectPr w:rsidR="00EB5AB5" w:rsidRPr="0078591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ul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5D57"/>
    <w:multiLevelType w:val="multilevel"/>
    <w:tmpl w:val="2F52E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1C"/>
    <w:rsid w:val="006F23EF"/>
    <w:rsid w:val="0078591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70F6D-B74A-4ECC-985D-5E4777D7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91C"/>
    <w:pPr>
      <w:spacing w:after="120" w:line="324" w:lineRule="auto"/>
      <w:jc w:val="both"/>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2026-06-27T15:56:00Z</dcterms:created>
  <dcterms:modified xsi:type="dcterms:W3CDTF">2026-06-27T15:56:00Z</dcterms:modified>
</cp:coreProperties>
</file>